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center"/>
        <w:rPr>
          <w:rFonts w:ascii="DFKai-SB" w:cs="DFKai-SB" w:eastAsia="DFKai-SB" w:hAnsi="DFKai-SB"/>
          <w:b w:val="1"/>
          <w:bCs w:val="1"/>
          <w:sz w:val="32"/>
          <w:szCs w:val="32"/>
        </w:rPr>
      </w:pPr>
      <w:bookmarkStart w:colFirst="0" w:colLast="0" w:name="_heading=h.9e3fwasi4lbg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sz w:val="32"/>
          <w:szCs w:val="32"/>
          <w:rtl w:val="0"/>
        </w:rPr>
        <w:t xml:space="preserve">嘉義市115學年度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2"/>
          <w:szCs w:val="32"/>
          <w:u w:val="single"/>
          <w:rtl w:val="0"/>
        </w:rPr>
        <w:t xml:space="preserve">  私立輔仁  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2"/>
          <w:szCs w:val="32"/>
          <w:rtl w:val="0"/>
        </w:rPr>
        <w:t xml:space="preserve">中學學校課程計畫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center"/>
        <w:rPr>
          <w:rFonts w:ascii="DFKai-SB" w:cs="DFKai-SB" w:eastAsia="DFKai-SB" w:hAnsi="DFKai-SB"/>
          <w:b w:val="1"/>
          <w:bCs w:val="1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2"/>
          <w:szCs w:val="32"/>
          <w:rtl w:val="0"/>
        </w:rPr>
        <w:t xml:space="preserve">學校背景分析</w:t>
      </w:r>
    </w:p>
    <w:p w:rsidR="00000000" w:rsidDel="00000000" w:rsidP="00000000" w:rsidRDefault="00000000" w:rsidRPr="00000000" w14:paraId="00000003">
      <w:pPr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可參考以下SWOTS表格分析向度或自訂撰寫格式。</w:t>
      </w:r>
    </w:p>
    <w:p w:rsidR="00000000" w:rsidDel="00000000" w:rsidP="00000000" w:rsidRDefault="00000000" w:rsidRPr="00000000" w14:paraId="00000004">
      <w:pPr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(註1.依據學校現有之體例敘寫，應具備以下分析向度。)</w:t>
      </w:r>
    </w:p>
    <w:tbl>
      <w:tblPr>
        <w:tblStyle w:val="Table1"/>
        <w:tblW w:w="10195.000000000002" w:type="dxa"/>
        <w:jc w:val="center"/>
        <w:tblLayout w:type="fixed"/>
        <w:tblLook w:val="0000"/>
      </w:tblPr>
      <w:tblGrid>
        <w:gridCol w:w="563"/>
        <w:gridCol w:w="2410"/>
        <w:gridCol w:w="3611"/>
        <w:gridCol w:w="3611"/>
        <w:tblGridChange w:id="0">
          <w:tblGrid>
            <w:gridCol w:w="563"/>
            <w:gridCol w:w="2410"/>
            <w:gridCol w:w="3611"/>
            <w:gridCol w:w="3611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bookmarkStart w:colFirst="0" w:colLast="0" w:name="_heading=h.1y810tw" w:id="1"/>
            <w:bookmarkEnd w:id="1"/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內在因素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分析向度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優勢S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劣勢W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校園環境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位居嘉義都會區，交通便捷。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本校是嘉義市南區唯一私立完全中學，其他私校均集中在嘉義市北區，如協同、宏仁、興華、嘉華等校。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遠離人口較多之民雄、大林、新港等地區。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學校規模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校地寬廣，學生活動空間充足。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創校已逾六十載，校舍、設備待持續更新。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行政組織與運作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兢兢業業、克盡職責。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重視學生受教權益，有效支援教學。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行政人員年輕並透過定期資訊研習，普遍資訊能力優異。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社會多元化，工作量、業務量逐年加重。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行政運作程序繁瑣。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行政人員培育及訓練不足。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許多資料欠缺統計追蹤，以致於成效無法掌握或檢討改進。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學制多(高中、國中)，課綱推動內容龐雜、繁重。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收入固定，不易開拓財源。校本課程規劃容易因教師鐘點費、設備需求受到限制。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教學內容規劃與執行缺乏數據檢測工具，影響成效評估的信效度。</w:t>
            </w:r>
          </w:p>
        </w:tc>
      </w:tr>
      <w:tr>
        <w:trPr>
          <w:cantSplit w:val="0"/>
          <w:trHeight w:val="5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師資結構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大多數教師都認同輔仁辦學理念、教學認真。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穩定推動教師專業發展評鑑多年，校內教師時時檢視教學內容。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透過逐年的推動，教師參與知能提升講座或研討會意願增加。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擁有許多優秀導師人才，頗受家長信賴。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教師專業成長不足以應付新人類。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薪資結構人事費用比例高。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現有教評會之規定讓學校對教師品質管控能力減弱不少。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學生特質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天真活潑、率直純樸。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學習力佳、活動力強。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本校成績逐年提昇，顯示本校辦學的熱忱與教師教學的用心，使學生經過三年的學習，成績超越或趕上公立優質國中學生。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學生能力多元，氣質佳，樂於學習，可塑性高。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榮獲教育部夏日動能計畫執行績優學校肯定。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勤勞及衛生習慣待養成。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學生程度較過去低很多，學習較被動、依賴。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文化、藝術刺激不足。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易被社會污染。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課業壓力繁重、升學壓力下，學習受到考試方向引導，創意發展受到侷限。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學生普遍社經地位高，對於生命關懷課程動能尚待提升。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教學設施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教室全部e化、實驗室完善、生物專科教室與數學專科教室具特色。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泳池規模大、330公尺田徑跑道、籃球場整修完成。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校園美化、綠化頗具成果。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行政電腦化，有助於提昇管理效能。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建物老舊。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建物沒有使用執照，法令不許新建。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圖書室太小。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學校組織文化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學校願景認同度高，教師願配合推動。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教師較為保守，創造力較弱。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課程現況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大多數教師教學經驗豐富。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私校教師配合度高，能充分投入。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部分科目有一定量之資深老師接近退休年齡，經驗傳承與世代接替的步調稍嫌不足。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外在因素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分析向度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機會O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威脅T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家長期望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家長來自各行各業，多數皆十分關心學校發展，可善加運用。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家長會組織健全，發揮良好功能。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少數家長對學校及老師有不理性干涉，老師須學會平常心應對。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赴大陸工作者漸增，親子關係較疏離。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社區資源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部分中年校友表明退休後願大力投入校友連繫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輔仁桃城好友會可以是一個強力後援會。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交通日趨複雜，實施校外參觀教學時，安全常為教師重要考量因素。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教育政策與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新興議題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數位學習政策推動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教育補助與合作計畫增加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108 課綱強調素養導向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政策變動快速、配套不足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家長對「新議題」理解落差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新興議題增加教師負擔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行動策略S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jc w:val="both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校園環境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1. 善用地利之便，強化與嘉義市區文教資源、社區場域的連結，規劃地方本位的戶外教育與跨域課程活動。</w:t>
              <w:br w:type="textWrapping"/>
              <w:t xml:space="preserve">2. 發展具區域特色的學校品牌，如「南區唯一完全中學」、「都市中的綠色校園」等形象。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學校規模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3. 運用寬敞場地辦理大型學習活動（如藝文展演、運動會、戶外教學等），鼓勵學生多元參與、展現潛能。</w:t>
              <w:br w:type="textWrapping"/>
              <w:t xml:space="preserve">4. 擴大設施共享機制，提升場域運用效益，並與社區、家長合作推動資源共學。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行政組織與運作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5. 建立行政數位化管理流程，提升行政效率與教學支援。</w:t>
              <w:br w:type="textWrapping"/>
              <w:t xml:space="preserve">6. 強化教師與行政團隊間的協作文化，推動跨組室課程發展支持小組。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師資結構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7. 發揮穩定教學團隊優勢，深化教師專業學習社群，擴大跨學科協作機會。</w:t>
              <w:br w:type="textWrapping"/>
              <w:t xml:space="preserve">8. 延續專業發展評鑑制度，建立教學實踐檔案，厚植教師教學品質與課程創新能力。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學生特質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9. 開發多元適性課程與社團活動，鼓勵學生發揮創意與長才。</w:t>
              <w:br w:type="textWrapping"/>
              <w:t xml:space="preserve">10. 透過歷程檔案與自主學習機制，引導學生累積學習成就感，激發內在動機。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教學設施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11. 善用e化教室與特色專科教室資源，推動數位學習與實作型教學。</w:t>
              <w:br w:type="textWrapping"/>
              <w:t xml:space="preserve">12. 利用既有運動與自然環境，發展融合體驗學習與健康教育的特色課程。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組織文化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13. 發揮教師願景共識與使命感，推動校本課程深耕與創新教學行動研究。</w:t>
              <w:br w:type="textWrapping"/>
              <w:t xml:space="preserve">14. 定期召開課程發展座談會，凝聚校內對未來課程方向的共識與投入。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課程現況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15. 延續經驗豐富的教師資源，進行課程模組化與教案共享，推動教師課程共備機制。</w:t>
              <w:br w:type="textWrapping"/>
              <w:t xml:space="preserve">16. 強化教師教學實踐與學生學習成果的資料回饋，建立可持續檢討的課程改善制度。</w:t>
            </w:r>
          </w:p>
        </w:tc>
      </w:tr>
    </w:tbl>
    <w:p w:rsidR="00000000" w:rsidDel="00000000" w:rsidP="00000000" w:rsidRDefault="00000000" w:rsidRPr="00000000" w14:paraId="00000082">
      <w:pPr>
        <w:rPr>
          <w:rFonts w:ascii="DFKai-SB" w:cs="DFKai-SB" w:eastAsia="DFKai-SB" w:hAnsi="DFKai-SB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40" w:w="11907" w:orient="portrait"/>
      <w:pgMar w:bottom="851" w:top="851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libri" w:cs="Calibri" w:eastAsia="Calibri" w:hAnsi="Calibri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sz w:val="36"/>
      <w:szCs w:val="3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ind w:left="482" w:hanging="482"/>
    </w:pPr>
    <w:rPr>
      <w:rFonts w:ascii="DFKai-SB" w:cs="DFKai-SB" w:eastAsia="DFKai-SB" w:hAnsi="DFKai-SB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f/UyoMlcW+YzwnmmtUHCxtwPkw==">CgMxLjAyDmguOWUzZndhc2k0bGJnMgloLjF5ODEwdHc4AHIhMWtwNFFuVEhJeUsyZE04VGljaGpMa2hqcklLanoyelFu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